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E7" w:rsidRPr="00941FE7" w:rsidRDefault="00941FE7" w:rsidP="00941FE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ГЛАВА</w:t>
      </w:r>
    </w:p>
    <w:p w:rsidR="00941FE7" w:rsidRPr="00941FE7" w:rsidRDefault="00941FE7" w:rsidP="00941FE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ГОРОДА ЛОБНЯ</w:t>
      </w:r>
    </w:p>
    <w:p w:rsidR="00941FE7" w:rsidRPr="00941FE7" w:rsidRDefault="00941FE7" w:rsidP="00941FE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МОСКОВСКОЙ ОБЛАСТИ</w:t>
      </w:r>
    </w:p>
    <w:p w:rsidR="00941FE7" w:rsidRPr="00941FE7" w:rsidRDefault="00941FE7" w:rsidP="00941FE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ПОСТАНОВЛЕНИЕ</w:t>
      </w:r>
    </w:p>
    <w:p w:rsidR="00941FE7" w:rsidRPr="00941FE7" w:rsidRDefault="00941FE7" w:rsidP="00941FE7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10.02.2021 № 188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«Предпринимательство» на 2020-2024 годы, 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941FE7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941FE7">
        <w:rPr>
          <w:rFonts w:ascii="Arial" w:hAnsi="Arial" w:cs="Arial"/>
          <w:sz w:val="24"/>
          <w:szCs w:val="24"/>
        </w:rPr>
        <w:t>65</w:t>
      </w:r>
      <w:r w:rsidRPr="00941FE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 и с целью актуализации муниципальной программы городского округа Лобня Московской области «Предпринимательство» на 2020-2024 годы,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Постановляю: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1.  Внести изменения в муниципальную программу «Предпринимательство» на 2020-2024 годы утвержденную постановлением Главы городского округа Лобня от 27.12.2019 года №1865.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       1.1 Планируемые результаты реализации муниципальной программы «Предпринимательство» (Приложение № 2 к постановлению Главы городского округа Лобня от 27.12.2019 года № 1865) изложить в новой редакции согласно приложению № 1 к настоящему Постановлению.</w:t>
      </w:r>
    </w:p>
    <w:p w:rsidR="00941FE7" w:rsidRPr="00941FE7" w:rsidRDefault="00941FE7" w:rsidP="00941F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941FE7">
          <w:rPr>
            <w:rFonts w:ascii="Arial" w:hAnsi="Arial" w:cs="Arial"/>
            <w:sz w:val="24"/>
            <w:szCs w:val="24"/>
          </w:rPr>
          <w:t>www.лобня</w:t>
        </w:r>
      </w:hyperlink>
      <w:r w:rsidRPr="00941FE7">
        <w:rPr>
          <w:rFonts w:ascii="Arial" w:hAnsi="Arial" w:cs="Arial"/>
          <w:sz w:val="24"/>
          <w:szCs w:val="24"/>
        </w:rPr>
        <w:t>. рф.</w:t>
      </w:r>
    </w:p>
    <w:p w:rsidR="00941FE7" w:rsidRPr="00941FE7" w:rsidRDefault="00941FE7" w:rsidP="00941FE7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ab/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941FE7">
        <w:rPr>
          <w:rFonts w:ascii="Arial" w:hAnsi="Arial" w:cs="Arial"/>
          <w:sz w:val="24"/>
          <w:szCs w:val="24"/>
        </w:rPr>
        <w:t xml:space="preserve">            </w:t>
      </w:r>
      <w:r w:rsidRPr="00941FE7">
        <w:rPr>
          <w:rFonts w:ascii="Arial" w:hAnsi="Arial" w:cs="Arial"/>
          <w:sz w:val="24"/>
          <w:szCs w:val="24"/>
        </w:rPr>
        <w:tab/>
        <w:t>Е.В. Смышляев</w:t>
      </w: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941FE7" w:rsidRPr="00941FE7" w:rsidSect="00941FE7">
          <w:pgSz w:w="11906" w:h="16838"/>
          <w:pgMar w:top="1134" w:right="1418" w:bottom="680" w:left="1134" w:header="709" w:footer="709" w:gutter="0"/>
          <w:cols w:space="708"/>
          <w:titlePg/>
          <w:docGrid w:linePitch="381"/>
        </w:sect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Приложение № 1</w:t>
      </w: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2A574C" w:rsidRPr="00941FE7" w:rsidRDefault="002A574C" w:rsidP="002A574C">
      <w:pPr>
        <w:widowControl w:val="0"/>
        <w:spacing w:after="0" w:line="240" w:lineRule="auto"/>
        <w:jc w:val="center"/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</w:pPr>
      <w:r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</w:t>
      </w:r>
      <w:r w:rsidRPr="00941FE7">
        <w:rPr>
          <w:rFonts w:ascii="Arial" w:eastAsia="Microsoft Sans Serif" w:hAnsi="Arial" w:cs="Arial"/>
          <w:bCs/>
          <w:color w:val="000000"/>
          <w:sz w:val="24"/>
          <w:szCs w:val="24"/>
          <w:lang w:eastAsia="ru-RU" w:bidi="ru-RU"/>
        </w:rPr>
        <w:t>от 10.02.2021 № 188</w:t>
      </w: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Приложение № 2</w:t>
      </w: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941FE7" w:rsidRPr="00941FE7" w:rsidRDefault="00941FE7" w:rsidP="00941FE7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>от 27.12.2019 № 1865</w:t>
      </w:r>
    </w:p>
    <w:p w:rsidR="00941FE7" w:rsidRPr="00941FE7" w:rsidRDefault="00941FE7" w:rsidP="00941FE7">
      <w:pPr>
        <w:pStyle w:val="ConsPlusNormal"/>
        <w:spacing w:before="220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pStyle w:val="ConsPlusNormal"/>
        <w:spacing w:before="220"/>
        <w:jc w:val="center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t xml:space="preserve">Планируемые </w:t>
      </w:r>
      <w:hyperlink r:id="rId6" w:history="1">
        <w:r w:rsidRPr="00941FE7">
          <w:rPr>
            <w:rFonts w:ascii="Arial" w:hAnsi="Arial" w:cs="Arial"/>
            <w:sz w:val="24"/>
            <w:szCs w:val="24"/>
          </w:rPr>
          <w:t>результаты</w:t>
        </w:r>
      </w:hyperlink>
      <w:r w:rsidRPr="00941FE7">
        <w:rPr>
          <w:rFonts w:ascii="Arial" w:hAnsi="Arial" w:cs="Arial"/>
          <w:sz w:val="24"/>
          <w:szCs w:val="24"/>
        </w:rPr>
        <w:t xml:space="preserve"> реализации муниципальной программы «Предпринимательство»</w:t>
      </w:r>
    </w:p>
    <w:p w:rsidR="00941FE7" w:rsidRPr="00941FE7" w:rsidRDefault="00941FE7" w:rsidP="00941FE7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1423"/>
        <w:gridCol w:w="1134"/>
        <w:gridCol w:w="1730"/>
        <w:gridCol w:w="1275"/>
        <w:gridCol w:w="1276"/>
        <w:gridCol w:w="992"/>
        <w:gridCol w:w="1103"/>
        <w:gridCol w:w="961"/>
        <w:gridCol w:w="1620"/>
      </w:tblGrid>
      <w:tr w:rsidR="00941FE7" w:rsidRPr="00941FE7" w:rsidTr="00941FE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Базовое значение показателя                      на начало реализации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941FE7" w:rsidRPr="00941FE7" w:rsidTr="00941FE7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941FE7" w:rsidRPr="00941FE7" w:rsidTr="00941FE7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«Инвестиции»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Объем инвестиций, привлеченных в основной капитал (без учета бюджетных инвестиций), на душу населения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39,4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41,5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е 02.«Создание многофункциональных индустриальных парков, технологических парков, промышленных площадок»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2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79,38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02.«Создание многофункциональных индустриальных парков, технологических парков, промышленных площадок»</w:t>
            </w:r>
          </w:p>
        </w:tc>
      </w:tr>
      <w:tr w:rsidR="00941FE7" w:rsidRPr="00941FE7" w:rsidTr="00941FE7">
        <w:trPr>
          <w:trHeight w:val="11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3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02.«Создание многофункциональных индустриальных парков, технологических парков, промышленных площадок»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4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5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Площадь территории, на которую привлечены новые резиденты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6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Указной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Производительность труда в базовых несырьевых отраслях экономики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07. Организация работ по поддержке и развитию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тыс.руб.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2800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640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конкуренции»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(ФАС России) (от общего количества объявленных торгов)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состоявшихся торгов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закона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02. Развитие конкурентно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 xml:space="preserve">й среды в рамках Федерального закона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03. Реализация комплекса мер по содействию развитию конкуренции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внешних совместителей) всех предприятий и организаций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Указной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(Указ 607)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</w:t>
            </w:r>
            <w:r w:rsidRPr="00941FE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941FE7">
              <w:rPr>
                <w:rFonts w:ascii="Arial" w:hAnsi="Arial" w:cs="Arial"/>
                <w:sz w:val="24"/>
                <w:szCs w:val="24"/>
              </w:rPr>
              <w:t>,</w:t>
            </w:r>
            <w:r w:rsidRPr="00941FE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16,96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17,18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Реализация механизмов муниципальной поддержки субъектов малого и среднего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предпринимательства»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Указной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(Указ 607)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color w:val="FF0000"/>
                <w:sz w:val="24"/>
                <w:szCs w:val="24"/>
              </w:rPr>
              <w:t>377,2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</w:t>
            </w:r>
            <w:r w:rsidRPr="00941FE7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43</w:t>
            </w:r>
            <w:r w:rsidRPr="00941FE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Реализация механизмов муниципальной поддержки субъектов малого и среднего предпринимательства»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Реализация механизмов муниципальной поддержки субъектов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малого и среднего предпринимательства»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вновь созданных субъектов МСП участниками проекта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Национального проекта (Регионального проекта)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0,012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0,009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0,008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за отчетный период (прошедший год)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10637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11424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12132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12750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самозанятых, нарастающим итогом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V «Развитие потребительского рынка и услуг»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Обеспеченность населения площадью торговых объектов 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кв.м/1000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1213,5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1281,0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1282,0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1282,0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Прирост площадей торговых объектов 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тыс. кв.м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Развитие потребительского рынка и услуг на территории муниципального образования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Цивилизованная торговля (Ликвидация незаконных нестационарных торговых объектов) 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баллы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Доля обслуживаемых населенных пунктов от общего числа населенных пунктов муниципального образования, соответствующих критериям отбора получателей субсидии на частичную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я Московской области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Прирост посадочных мест на объектах общественного питания 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Посадочные места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2.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Развитие сферы общественного питания на территории муниципального образования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Прирост рабочих мест на объектах бытового обслуживания 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Рабочие места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3 </w:t>
            </w:r>
          </w:p>
          <w:p w:rsidR="00941FE7" w:rsidRPr="00941FE7" w:rsidRDefault="00941FE7" w:rsidP="00941F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Развитие сферы бытовых услуг на территории муниципального образования Московской области</w:t>
            </w:r>
          </w:p>
          <w:p w:rsidR="00941FE7" w:rsidRPr="00941FE7" w:rsidRDefault="00941FE7" w:rsidP="00941F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введенных банных объектов по программе «100 бань Подмосковья» 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Основное мероприятие 4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Реализация губернаторской программы «100 бань Подмосковья» на территории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  <w:p w:rsidR="00941FE7" w:rsidRPr="00941FE7" w:rsidRDefault="00941FE7" w:rsidP="00941F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Основное мероприятие 5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Участие в организации региональной системы защиты прав потребителей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1FE7" w:rsidRPr="00941FE7" w:rsidRDefault="00941FE7" w:rsidP="00941FE7">
      <w:pPr>
        <w:pStyle w:val="ConsPlusNormal"/>
        <w:jc w:val="both"/>
        <w:rPr>
          <w:rFonts w:ascii="Arial" w:hAnsi="Arial" w:cs="Arial"/>
          <w:sz w:val="24"/>
          <w:szCs w:val="24"/>
        </w:rPr>
        <w:sectPr w:rsidR="00941FE7" w:rsidRPr="00941FE7" w:rsidSect="00941FE7">
          <w:pgSz w:w="16838" w:h="11906" w:orient="landscape"/>
          <w:pgMar w:top="1418" w:right="680" w:bottom="1134" w:left="1134" w:header="709" w:footer="709" w:gutter="0"/>
          <w:cols w:space="708"/>
          <w:titlePg/>
          <w:docGrid w:linePitch="381"/>
        </w:sectPr>
      </w:pPr>
    </w:p>
    <w:p w:rsidR="00941FE7" w:rsidRPr="00941FE7" w:rsidRDefault="00941FE7" w:rsidP="00941F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41FE7">
        <w:rPr>
          <w:rFonts w:ascii="Arial" w:hAnsi="Arial" w:cs="Arial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 (подпрограммы)</w:t>
      </w:r>
    </w:p>
    <w:p w:rsidR="00941FE7" w:rsidRPr="00941FE7" w:rsidRDefault="00941FE7" w:rsidP="00941F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134"/>
        <w:gridCol w:w="4252"/>
        <w:gridCol w:w="3686"/>
        <w:gridCol w:w="2557"/>
      </w:tblGrid>
      <w:tr w:rsidR="00941FE7" w:rsidRPr="00941FE7" w:rsidTr="00941FE7">
        <w:trPr>
          <w:trHeight w:val="276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41FE7" w:rsidRPr="00941FE7" w:rsidTr="00941FE7">
        <w:trPr>
          <w:trHeight w:val="28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7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941FE7" w:rsidRPr="00941FE7" w:rsidTr="00941FE7">
        <w:trPr>
          <w:trHeight w:val="297"/>
        </w:trPr>
        <w:tc>
          <w:tcPr>
            <w:tcW w:w="562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«Инвестиции»</w:t>
            </w:r>
          </w:p>
        </w:tc>
      </w:tr>
      <w:tr w:rsidR="00941FE7" w:rsidRPr="00941FE7" w:rsidTr="00941FE7">
        <w:trPr>
          <w:trHeight w:val="250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Идн = Ид / Чн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Коломенского городского округа на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01 января отчетного года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Процент заполняемости многофункциональных индустриальных парков, технологических парков, промышленных площадок. 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 = Пинд.р*100/(Пинд.о-Пинд.и)</w:t>
            </w:r>
          </w:p>
          <w:p w:rsidR="00941FE7" w:rsidRPr="00941FE7" w:rsidRDefault="00941FE7" w:rsidP="00941FE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</w:p>
          <w:p w:rsidR="00941FE7" w:rsidRPr="00941FE7" w:rsidRDefault="00941FE7" w:rsidP="00941FE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Пинд.р – площадь индустриального парка, занятая резидентами;</w:t>
            </w:r>
          </w:p>
          <w:p w:rsidR="00941FE7" w:rsidRPr="00941FE7" w:rsidRDefault="00941FE7" w:rsidP="00941FE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Пинд.о. – общая площадь индустриального парка;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Пинд.и – площадь индустриального парка, предназначенная для объектов инфраструктуры.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Управляющие компании индустриальных парков, технопарков и промзон, а также АО «Корпорация развития Московской области», ГИС ИП.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многофункциональных  индустриальных парков, технологических парков, промышленных площадок.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Учитывается общее количество многофункциональных индустриальных парков,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 технологических парков, промышленных площадок муниципального образования (нарастающим итогом).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1FE7" w:rsidRPr="00941FE7" w:rsidRDefault="00941FE7" w:rsidP="00941F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</w:t>
            </w:r>
            <w:hyperlink r:id="rId7" w:history="1">
              <w:r w:rsidRPr="00941FE7">
                <w:rPr>
                  <w:rStyle w:val="af0"/>
                  <w:rFonts w:ascii="Arial" w:hAnsi="Arial" w:cs="Arial"/>
                  <w:sz w:val="24"/>
                  <w:szCs w:val="24"/>
                </w:rPr>
                <w:t>https://www.gisip.ru</w:t>
              </w:r>
            </w:hyperlink>
            <w:r w:rsidRPr="00941FE7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941FE7" w:rsidRPr="00941FE7" w:rsidRDefault="00941FE7" w:rsidP="00941FE7">
            <w:pPr>
              <w:tabs>
                <w:tab w:val="left" w:pos="53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252" w:type="dxa"/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Учитывается количество привлеченных резидентов на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отчетам управляющие компании индустриальных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парков, технопарков и промзон, а также АО «Корпорация развития Московской области», а так же по сведениям ЕАС ПИП.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Площадь территории, на которую привлечены новые резиденты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</w:p>
        </w:tc>
        <w:tc>
          <w:tcPr>
            <w:tcW w:w="4252" w:type="dxa"/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субъектам малого предпринимательства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 предприятиям предшествующего </w:t>
            </w:r>
            <w:r w:rsidRPr="00941FE7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необходимо </w:t>
            </w:r>
            <w:r w:rsidRPr="00941FE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Производительность труда в базовых несырьевых отраслях экономики 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1. Настоящая методика определяет расчет показателя "Производительность труда в базовых несырьевых отраслях экономики" за отчетный период (прошедший год).</w:t>
            </w:r>
          </w:p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2. Под базовыми несырьевыми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деятельности, утвержденным Приказом Росстандарта от 31.01.2014 № 14-ст (ОК 029-2014 (КДЕС Ред.2) понимаются: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 (раздел А);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обрабатывающие производства (раздел С);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строительство (раздел F);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торговля оптовая и розничная; ремонт автотранспортных средств и мотоциклов (раздел G);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транспортировка и хранение (раздел Н);</w:t>
            </w:r>
          </w:p>
          <w:p w:rsidR="00941FE7" w:rsidRPr="00941FE7" w:rsidRDefault="00941FE7" w:rsidP="00941FE7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деятельность в области информации и связи (раздел J).</w:t>
            </w:r>
          </w:p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3. Индекс производительности труда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</m:oMath>
            <w:r w:rsidRPr="00941FE7">
              <w:rPr>
                <w:rFonts w:ascii="Arial" w:hAnsi="Arial" w:cs="Arial"/>
                <w:sz w:val="24"/>
                <w:szCs w:val="24"/>
              </w:rPr>
              <w:t>), отражающий динамику производительности труда отчетного года (n-го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</m:oMath>
            <w:r w:rsidRPr="00941FE7">
              <w:rPr>
                <w:rFonts w:ascii="Arial" w:hAnsi="Arial" w:cs="Arial"/>
                <w:sz w:val="24"/>
                <w:szCs w:val="24"/>
              </w:rPr>
              <w:t>) к производительности труда базового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b>
              </m:sSub>
            </m:oMath>
            <w:r w:rsidRPr="00941FE7">
              <w:rPr>
                <w:rFonts w:ascii="Arial" w:hAnsi="Arial" w:cs="Arial"/>
                <w:sz w:val="24"/>
                <w:szCs w:val="24"/>
              </w:rPr>
              <w:t>), выражается в процентах:</w:t>
            </w:r>
          </w:p>
          <w:p w:rsidR="00941FE7" w:rsidRPr="00941FE7" w:rsidRDefault="00941FE7" w:rsidP="00941FE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ИПТ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ПТ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ПТ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×100%.</m:t>
                </m:r>
              </m:oMath>
            </m:oMathPara>
          </w:p>
          <w:p w:rsidR="00941FE7" w:rsidRPr="00941FE7" w:rsidRDefault="00941FE7" w:rsidP="00941FE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4. Производительность труда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) </m:t>
              </m:r>
            </m:oMath>
            <w:r w:rsidRPr="00941FE7">
              <w:rPr>
                <w:rFonts w:ascii="Arial" w:hAnsi="Arial" w:cs="Arial"/>
                <w:sz w:val="24"/>
                <w:szCs w:val="24"/>
              </w:rPr>
              <w:t>определяется как отношение суммы отгруженной продукции i-й базовой несырьевой отрасли</w:t>
            </w:r>
            <w:r w:rsidRPr="00941FE7" w:rsidDel="00883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hAnsi="Arial" w:cs="Arial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ОП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Pr="00941FE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>с учетом индекса дефлятора i-й базовой несырьевой отрасли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  <w:r w:rsidRPr="00941FE7">
              <w:rPr>
                <w:rFonts w:ascii="Arial" w:hAnsi="Arial" w:cs="Arial"/>
                <w:sz w:val="24"/>
                <w:szCs w:val="24"/>
              </w:rPr>
              <w:t xml:space="preserve"> к сумме среднесписочной численности работников i-й базовой несырьевой отрасли</w:t>
            </w:r>
            <w:r w:rsidRPr="00941FE7" w:rsidDel="00883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hAnsi="Arial" w:cs="Arial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ЧР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ср</m:t>
                      </m:r>
                    </m:sub>
                  </m:sSub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Pr="00941FE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 xml:space="preserve">за соответствующие периоды: </w:t>
            </w:r>
          </w:p>
          <w:p w:rsidR="00941FE7" w:rsidRPr="00941FE7" w:rsidRDefault="00941FE7" w:rsidP="00941FE7">
            <w:pPr>
              <w:pStyle w:val="ConsPlusNormal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ПТ=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ОП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ЧР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ср</m:t>
                              </m:r>
                            </m:sub>
                          </m:sSub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oMath>
            <w:r w:rsidRPr="00941FE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941FE7" w:rsidRPr="00941FE7" w:rsidRDefault="00941FE7" w:rsidP="00941FE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ОП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      </w:r>
          </w:p>
          <w:p w:rsidR="00941FE7" w:rsidRPr="00941FE7" w:rsidRDefault="00941FE7" w:rsidP="00941FE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– индекс цен, рассчитанный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каждой базовой несырьевой отрасли в отдельности и применяемый для пересчета какого-либо из стоимостных показателей, выраженных в текущих (действующих) ценах,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941FE7" w:rsidRPr="00941FE7" w:rsidRDefault="00941FE7" w:rsidP="00941FE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ЧР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– среднесписочная численность работников (без внешних совместителей)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 xml:space="preserve">по организациям, не относящимся к субъектам малого предпринимательства,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 xml:space="preserve">за год, исчисляется путем суммирования списочной численности работников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 xml:space="preserve"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Приказом Росстата от 15.07.2019 № 404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 xml:space="preserve">«Об утверждении форм федерального статистического наблюдения для организации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941FE7" w:rsidRPr="00941FE7" w:rsidRDefault="00941FE7" w:rsidP="00941FE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ОП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      </w:r>
          </w:p>
          <w:p w:rsidR="00941FE7" w:rsidRPr="00941FE7" w:rsidRDefault="00941FE7" w:rsidP="00941FE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ЧР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  <w:p w:rsidR="00941FE7" w:rsidRPr="00941FE7" w:rsidRDefault="00941FE7" w:rsidP="00941FE7">
            <w:pPr>
              <w:pStyle w:val="ConsPlusNormal"/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ИЧП= Ио-Ифп-Ифб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ИЧП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Ио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 xml:space="preserve">Объем инвестиций, привлеченных в основной капитал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по организациям, не относящимся к субъектам малого предпринимательства.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Ифп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Объем инвестиций инфраструктурных монополий (федеральные проекты);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Ифб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941FE7">
              <w:rPr>
                <w:rFonts w:ascii="Arial" w:hAnsi="Arial" w:cs="Arial"/>
                <w:sz w:val="24"/>
                <w:szCs w:val="24"/>
              </w:rPr>
              <w:tab/>
              <w:t>Объем бюджетных ассигнований федерального бюджета.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П-2 «Сведения об инвестициях в нефинансовые активы»;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инвестиций инфраструктурных монополий (федеральные проекты)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принимается равным нулю в связи с отсутствием информации в разрезе муниципальных образований.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 получении официальной статистической отчетности осуществляется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корректировка показателя.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vAlign w:val="center"/>
          </w:tcPr>
          <w:p w:rsidR="00941FE7" w:rsidRPr="00941FE7" w:rsidRDefault="00941FE7" w:rsidP="00941FE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Данные формы статистического наблюдения № П-4(Н3) «Сведения о неполной занятости и движении работников»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  <w:vAlign w:val="center"/>
          </w:tcPr>
          <w:p w:rsidR="00941FE7" w:rsidRPr="00941FE7" w:rsidRDefault="00941FE7" w:rsidP="00941FE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конкуренции»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(ФАС России) (от общего количества объявленных торгов)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29"/>
                <w:sz w:val="24"/>
                <w:szCs w:val="24"/>
              </w:rPr>
              <w:drawing>
                <wp:inline distT="0" distB="0" distL="0" distR="0" wp14:anchorId="46AED0B4" wp14:editId="3B895345">
                  <wp:extent cx="1063487" cy="367748"/>
                  <wp:effectExtent l="0" t="0" r="0" b="0"/>
                  <wp:docPr id="13" name="Рисунок 13" descr="base_14_274090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4_274090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6" cy="38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1E4C5BA7" wp14:editId="7264EA7C">
                  <wp:extent cx="371475" cy="323850"/>
                  <wp:effectExtent l="0" t="0" r="9525" b="0"/>
                  <wp:docPr id="12" name="Рисунок 12" descr="base_14_274090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4_274090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 - общее количество объявленных торгов, единица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noProof/>
                <w:position w:val="-29"/>
                <w:sz w:val="24"/>
                <w:szCs w:val="24"/>
                <w:lang w:eastAsia="ru-RU"/>
              </w:rPr>
              <w:drawing>
                <wp:inline distT="0" distB="0" distL="0" distR="0" wp14:anchorId="24848891" wp14:editId="0B77DD59">
                  <wp:extent cx="1514475" cy="387626"/>
                  <wp:effectExtent l="0" t="0" r="0" b="0"/>
                  <wp:docPr id="11" name="Рисунок 11" descr="base_14_274090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4_274090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92" cy="38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10735B6E" wp14:editId="34873200">
                  <wp:extent cx="342900" cy="323850"/>
                  <wp:effectExtent l="0" t="0" r="0" b="0"/>
                  <wp:docPr id="14" name="Рисунок 14" descr="base_14_274090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4_274090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доля несостоявшихся торгов;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N - количество торгов, на которые не было подано заявок, либо заявки были отклонены, либо подана одна заявка, единица;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K - общее количество объявленных торгов, единица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состоявшихся торгов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noProof/>
                <w:position w:val="-36"/>
                <w:sz w:val="24"/>
                <w:szCs w:val="24"/>
                <w:lang w:eastAsia="ru-RU"/>
              </w:rPr>
              <w:drawing>
                <wp:inline distT="0" distB="0" distL="0" distR="0" wp14:anchorId="4195F5D4" wp14:editId="310498F6">
                  <wp:extent cx="1630017" cy="457200"/>
                  <wp:effectExtent l="0" t="0" r="0" b="0"/>
                  <wp:docPr id="15" name="Рисунок 15" descr="base_14_274090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4_274090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482" cy="46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Эодс - доля общей экономии денежных средств от общей суммы состоявшихся торгов, процентов;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Эдс - общая экономия денежных средств в результате проведения торгов и до проведения торгов, рублей;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noProof/>
                <w:position w:val="-13"/>
                <w:sz w:val="24"/>
                <w:szCs w:val="24"/>
                <w:lang w:eastAsia="ru-RU"/>
              </w:rPr>
              <w:drawing>
                <wp:inline distT="0" distB="0" distL="0" distR="0" wp14:anchorId="186CF222" wp14:editId="2691B0E2">
                  <wp:extent cx="638175" cy="342900"/>
                  <wp:effectExtent l="0" t="0" r="0" b="0"/>
                  <wp:docPr id="16" name="Рисунок 16" descr="base_14_274090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4_274090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общая сумма объявленных торгов, рублей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Доля закупок среди субъектов малого предпринимательства, социально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3E3BA039" wp14:editId="107E878C">
                  <wp:extent cx="2325756" cy="397565"/>
                  <wp:effectExtent l="0" t="0" r="0" b="0"/>
                  <wp:docPr id="17" name="Рисунок 17" descr="base_14_274090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4_274090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981" cy="40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lastRenderedPageBreak/>
              <w:drawing>
                <wp:inline distT="0" distB="0" distL="0" distR="0" wp14:anchorId="6122BB5B" wp14:editId="0C7A866D">
                  <wp:extent cx="476250" cy="323850"/>
                  <wp:effectExtent l="0" t="0" r="0" b="0"/>
                  <wp:docPr id="18" name="Рисунок 18" descr="base_14_274090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4_274090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доля закупок у субъектов малого предпринимательства (СМП), социально ориентированных некоммерческих организаций (СОНО), %;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3"/>
                <w:sz w:val="24"/>
                <w:szCs w:val="24"/>
              </w:rPr>
              <w:drawing>
                <wp:inline distT="0" distB="0" distL="0" distR="0" wp14:anchorId="5383BA72" wp14:editId="7F947FC0">
                  <wp:extent cx="657225" cy="342900"/>
                  <wp:effectExtent l="0" t="0" r="0" b="0"/>
                  <wp:docPr id="19" name="Рисунок 19" descr="base_14_274090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4_274090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сумма контрактов, заключенных с СМП, СОНО по объявленным среди СМП, СОНО закупкам, руб.;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3"/>
                <w:sz w:val="24"/>
                <w:szCs w:val="24"/>
              </w:rPr>
              <w:drawing>
                <wp:inline distT="0" distB="0" distL="0" distR="0" wp14:anchorId="7EF5EEDE" wp14:editId="3BD9C03F">
                  <wp:extent cx="609600" cy="342900"/>
                  <wp:effectExtent l="0" t="0" r="0" b="0"/>
                  <wp:docPr id="20" name="Рисунок 20" descr="base_14_274090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4_274090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Федерального закона № 44-ФЗ, руб.;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СГО - совокупный годовой объем с учетом пункта 1.1 статьи 30 Федерального закона № 44-ФЗ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noProof/>
                <w:position w:val="-32"/>
                <w:sz w:val="24"/>
                <w:szCs w:val="24"/>
                <w:lang w:eastAsia="ru-RU"/>
              </w:rPr>
              <w:drawing>
                <wp:inline distT="0" distB="0" distL="0" distR="0" wp14:anchorId="2BB105A2" wp14:editId="4131DC09">
                  <wp:extent cx="1808921" cy="357809"/>
                  <wp:effectExtent l="0" t="0" r="0" b="0"/>
                  <wp:docPr id="21" name="Рисунок 21" descr="base_14_274090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14_274090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429" cy="3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Y - количество участников в одной процедуре, единица;</w:t>
            </w:r>
          </w:p>
          <w:p w:rsidR="00941FE7" w:rsidRPr="00941FE7" w:rsidRDefault="00941FE7" w:rsidP="00941FE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noProof/>
                <w:position w:val="-12"/>
                <w:sz w:val="24"/>
                <w:szCs w:val="24"/>
              </w:rPr>
              <w:drawing>
                <wp:inline distT="0" distB="0" distL="0" distR="0" wp14:anchorId="30D32A59" wp14:editId="300C7372">
                  <wp:extent cx="285750" cy="342900"/>
                  <wp:effectExtent l="0" t="0" r="0" b="0"/>
                  <wp:docPr id="22" name="Рисунок 22" descr="base_14_274090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14_274090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- количество участников размещения заказов в i-й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процедуре, где k - количество проведенных процедур, единица;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K - общее количество проведенных процедур, единица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K = Т1 + Т2 + ... Тi,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К - количество реализованных требований Стандарта развития конкуренции, единиц;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Тi - единица реализованного требования Стандарта развития конкуренции.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Реализация каждого требования является единицей при расчете значения показателя: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одна единица числового значения показателя равна одному реализованному требованию.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Требование (Т1 - Тi):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1. Определение уполномоченного органа.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 xml:space="preserve">2. Утверждение перечня товарных рынков (сфер экономики) для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содействия развитию конкуренции в муниципальном образовании Московской области.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3. Разработка плана мероприятий («дорожной карты») по содействию развитию конкуренции в муниципальном образовании Московской области.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4. Проведение мониторинга состояния и развития конкуренции на товарных рынках (сферах экономики) в муниципальном образовании Московской области.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5. 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III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Показатель1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w:lastRenderedPageBreak/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w:br/>
                </m:r>
              </m:oMath>
            </m:oMathPara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ср</m:t>
                    </m:r>
                  </m:e>
                </m:mr>
              </m:m>
            </m:oMath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</m:t>
                    </m:r>
                  </m:e>
                </m:mr>
              </m:m>
            </m:oMath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Федеральное статистическое наблюдение по формам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№ П-4 «Сведения о численности и заработной плате работников» </w:t>
            </w: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 xml:space="preserve">- № 1-Т «Сведения о численности и заработной плате работников»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2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×10000</m:t>
                </m:r>
              </m:oMath>
            </m:oMathPara>
          </w:p>
          <w:p w:rsidR="00941FE7" w:rsidRPr="00941FE7" w:rsidRDefault="00941FE7" w:rsidP="00941FE7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10000</m:t>
                    </m:r>
                  </m:e>
                </m:mr>
              </m:m>
            </m:oMath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- </w:t>
            </w: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Чсмсп</m:t>
              </m:r>
            </m:oMath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Чнас</m:t>
              </m:r>
            </m:oMath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Федеральной службы государственной статистики)</w:t>
            </w:r>
          </w:p>
          <w:p w:rsidR="00941FE7" w:rsidRPr="00941FE7" w:rsidRDefault="00941FE7" w:rsidP="00941FE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3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t-1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×10 000</m:t>
              </m:r>
            </m:oMath>
            <w:r w:rsidRPr="00941F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Пр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к 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941FE7">
              <w:rPr>
                <w:rFonts w:ascii="Arial" w:hAnsi="Arial" w:cs="Arial"/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941FE7">
              <w:rPr>
                <w:rFonts w:ascii="Arial" w:hAnsi="Arial" w:cs="Arial"/>
                <w:sz w:val="24"/>
                <w:szCs w:val="24"/>
              </w:rPr>
              <w:t>количество средних, малых предприятий, микропредприятий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-1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количество субъектов МСП на начало отчетного года, единиц, заполняется один раз в год по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состоянию на начало отчетного года;</w:t>
            </w: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н</m:t>
                  </m:r>
                </m:sub>
              </m:sSub>
            </m:oMath>
            <w:r w:rsidRPr="00941FE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Pr="00941FE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численность населения муниципального образования Московской области, человек, заполняется один раз </w:t>
            </w:r>
            <w:r w:rsidRPr="00941FE7">
              <w:rPr>
                <w:rFonts w:ascii="Arial" w:hAnsi="Arial" w:cs="Arial"/>
                <w:sz w:val="24"/>
                <w:szCs w:val="24"/>
              </w:rPr>
              <w:br/>
              <w:t>в год по состоянию на 1 января отчетного года</w:t>
            </w:r>
          </w:p>
          <w:p w:rsidR="00941FE7" w:rsidRPr="00941FE7" w:rsidRDefault="00941FE7" w:rsidP="00941FE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4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Вновь созданные предприятия МСП в сфере производства или услуг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Вновь созданные юридические лица в сфере производства и услуг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5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МСП участниками проекта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</w:rPr>
              <w:t>Вновь созданные субъекты МСП, участвующие в Региональном проекте «Популяризация предпринимательства»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6</w:t>
            </w:r>
          </w:p>
          <w:p w:rsidR="00941FE7" w:rsidRPr="00941FE7" w:rsidRDefault="00941FE7" w:rsidP="00941FE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за отчетный период (прошедший год)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Ч = ССЧР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>юл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+ ССЧР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>ип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+ ЮЛ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>вс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+ ИП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>мсп</w:t>
            </w:r>
            <w:r w:rsidRPr="00941F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FE7">
              <w:rPr>
                <w:rFonts w:ascii="Arial" w:hAnsi="Arial" w:cs="Arial"/>
                <w:sz w:val="24"/>
                <w:szCs w:val="24"/>
              </w:rPr>
              <w:lastRenderedPageBreak/>
              <w:t>+ П</w:t>
            </w:r>
            <w:r w:rsidRPr="00941FE7">
              <w:rPr>
                <w:rFonts w:ascii="Arial" w:hAnsi="Arial" w:cs="Arial"/>
                <w:sz w:val="24"/>
                <w:szCs w:val="24"/>
                <w:vertAlign w:val="subscript"/>
              </w:rPr>
              <w:t>нпд</w:t>
            </w:r>
          </w:p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</w:p>
          <w:p w:rsidR="00941FE7" w:rsidRPr="00941FE7" w:rsidRDefault="00941FE7" w:rsidP="00941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Ч - Численность занятых в сфере малого и среднего предпринимательства, включая индивидуальных предпринимателей" за отчетный период (прошедший год)</w:t>
            </w:r>
          </w:p>
          <w:p w:rsidR="00941FE7" w:rsidRPr="00941FE7" w:rsidRDefault="00941FE7" w:rsidP="00941F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ССЧР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юл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сумма среднесписочной численности работников юридических лиц;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ССЧР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ип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сумма среднесписочной численности работников индивидуальных предпринимателей;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ЮЛ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вс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вновь созданные юридические лица;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мсп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нпд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плательщиков налога на профессиональный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доход.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Понятия, используемые в настоящей методике, означают следующее: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"субъекты малого и среднего предпринимательства" - хозяйствующие субъекты (юридические лица и индивидуальные предприниматели), отнесенные в соответствии с условиями, установленными </w:t>
            </w:r>
            <w:hyperlink r:id="rId20" w:history="1">
              <w:r w:rsidRPr="00941FE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4</w:t>
              </w:r>
            </w:hyperlink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Федерального закона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"вновь созданные юридические лица" - юридические лица, сведения о которых внесены в единый реестр субъектов малого и среднего предпринимательства с указанием на то, что такие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юридические лица являются вновь созданными, по состоянию на 1 август;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"индивидуальные предприниматели" - субъекты малого и среднего предпринимательства -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"сумма среднесписочной численности работников юридических лиц" -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"сумма среднесписочной численности работников индивидуальных предпринимателей" - сумма среднесписочной численности за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"плательщики налога на профессиональный доход" - физические лица, перешедшие на специальный налоговый режим "Налог на профессиональный доход" в порядке, установленном Федеральным </w:t>
            </w:r>
            <w:hyperlink r:id="rId21" w:history="1">
              <w:r w:rsidRPr="00941FE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(Татарстан)", за исключением индивидуальных предпринимателей - плательщиков налога на профессиональный доход, сведения о которых внесены в единый реестр субъектов малого и среднего предпринимательства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состоянию на 1 августа.</w:t>
            </w: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spacing w:before="24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Данные, публикуемые ФНС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России в информационно-телекоммуникационной сети "Интернет" на сайте www.nalog.ru в разделе "Электронные сервисы/Единый реестр субъектов малого и среднего предпринимательства/Статистика" 10 августа текущего года, а также в разделе "Налог на профессиональный доход/Информационные материалы". 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941FE7" w:rsidRPr="00941FE7" w:rsidTr="00941FE7">
        <w:trPr>
          <w:trHeight w:val="332"/>
        </w:trPr>
        <w:tc>
          <w:tcPr>
            <w:tcW w:w="562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7</w:t>
            </w:r>
          </w:p>
          <w:p w:rsidR="00941FE7" w:rsidRPr="00941FE7" w:rsidRDefault="00941FE7" w:rsidP="00941FE7">
            <w:pPr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>Количество самозанятых граждан, зафиксировавших свой статус, с учетом введения налогового режима для самозанятых, нарастающим итогом</w:t>
            </w:r>
          </w:p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1FE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физических лиц, использующих специальный налоговый режим "Налог на профессиональный доход" в порядке, установленном Федеральным </w:t>
            </w:r>
            <w:hyperlink r:id="rId22" w:history="1">
              <w:r w:rsidRPr="00941FE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941F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27.11.2018 № 422-ФЗ "О проведении эксперимента по установлению специального налогового режима "Налог на профессиональный доход"</w:t>
            </w:r>
            <w:r w:rsidRPr="00941FE7">
              <w:rPr>
                <w:rFonts w:ascii="Arial" w:hAnsi="Arial" w:cs="Arial"/>
                <w:sz w:val="24"/>
                <w:szCs w:val="24"/>
              </w:rPr>
              <w:t>, зарегистрированных на территории муниципального образования и осуществляющих деятельность на территории Московской области, нарастающим итогом.</w:t>
            </w:r>
          </w:p>
          <w:p w:rsidR="00941FE7" w:rsidRPr="00941FE7" w:rsidRDefault="00941FE7" w:rsidP="00941FE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941FE7" w:rsidRPr="00941FE7" w:rsidRDefault="00941FE7" w:rsidP="0094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41FE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</w:tbl>
    <w:p w:rsidR="00941FE7" w:rsidRPr="00941FE7" w:rsidRDefault="00941FE7" w:rsidP="00941F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941FE7" w:rsidRPr="00941FE7" w:rsidSect="00941FE7">
          <w:pgSz w:w="16838" w:h="11906" w:orient="landscape"/>
          <w:pgMar w:top="1418" w:right="680" w:bottom="1134" w:left="1134" w:header="0" w:footer="0" w:gutter="0"/>
          <w:cols w:space="708"/>
          <w:docGrid w:linePitch="299"/>
        </w:sectPr>
      </w:pPr>
      <w:bookmarkStart w:id="1" w:name="_GoBack"/>
      <w:bookmarkEnd w:id="1"/>
    </w:p>
    <w:p w:rsidR="00941FE7" w:rsidRPr="00941FE7" w:rsidRDefault="00941FE7" w:rsidP="00941F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941FE7" w:rsidRPr="00941FE7" w:rsidSect="00941FE7">
          <w:pgSz w:w="16838" w:h="11906" w:orient="landscape"/>
          <w:pgMar w:top="1418" w:right="680" w:bottom="1134" w:left="1134" w:header="0" w:footer="0" w:gutter="0"/>
          <w:cols w:space="708"/>
          <w:docGrid w:linePitch="299"/>
        </w:sectPr>
      </w:pPr>
    </w:p>
    <w:p w:rsidR="00941FE7" w:rsidRPr="00941FE7" w:rsidRDefault="00941FE7" w:rsidP="002A574C">
      <w:pPr>
        <w:rPr>
          <w:rFonts w:ascii="Arial" w:hAnsi="Arial" w:cs="Arial"/>
          <w:sz w:val="24"/>
          <w:szCs w:val="24"/>
        </w:rPr>
      </w:pPr>
    </w:p>
    <w:sectPr w:rsidR="00941FE7" w:rsidRPr="00941FE7" w:rsidSect="00941FE7">
      <w:pgSz w:w="16838" w:h="11906" w:orient="landscape"/>
      <w:pgMar w:top="1418" w:right="68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5BC"/>
    <w:multiLevelType w:val="hybridMultilevel"/>
    <w:tmpl w:val="DC30A696"/>
    <w:lvl w:ilvl="0" w:tplc="A3FA3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42617B"/>
    <w:multiLevelType w:val="hybridMultilevel"/>
    <w:tmpl w:val="F158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E646A"/>
    <w:multiLevelType w:val="hybridMultilevel"/>
    <w:tmpl w:val="DCC29DC6"/>
    <w:lvl w:ilvl="0" w:tplc="86E0DFD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4">
    <w:nsid w:val="30B36E51"/>
    <w:multiLevelType w:val="hybridMultilevel"/>
    <w:tmpl w:val="C0D2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3BDE"/>
    <w:multiLevelType w:val="hybridMultilevel"/>
    <w:tmpl w:val="998AD4DA"/>
    <w:lvl w:ilvl="0" w:tplc="157441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B3D3452"/>
    <w:multiLevelType w:val="hybridMultilevel"/>
    <w:tmpl w:val="F6EA0F00"/>
    <w:lvl w:ilvl="0" w:tplc="24ECCC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35A678A"/>
    <w:multiLevelType w:val="hybridMultilevel"/>
    <w:tmpl w:val="8E4C5E4C"/>
    <w:lvl w:ilvl="0" w:tplc="6C78A5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ED71FA"/>
    <w:multiLevelType w:val="hybridMultilevel"/>
    <w:tmpl w:val="16EE2F32"/>
    <w:lvl w:ilvl="0" w:tplc="8BE69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33C67"/>
    <w:multiLevelType w:val="hybridMultilevel"/>
    <w:tmpl w:val="FBBC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6253A"/>
    <w:multiLevelType w:val="hybridMultilevel"/>
    <w:tmpl w:val="0674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07"/>
    <w:rsid w:val="002A574C"/>
    <w:rsid w:val="0049653F"/>
    <w:rsid w:val="00845207"/>
    <w:rsid w:val="009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54C7-8DA4-4182-A391-CCFDD80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E7"/>
  </w:style>
  <w:style w:type="paragraph" w:styleId="1">
    <w:name w:val="heading 1"/>
    <w:basedOn w:val="a"/>
    <w:next w:val="a"/>
    <w:link w:val="10"/>
    <w:uiPriority w:val="99"/>
    <w:qFormat/>
    <w:rsid w:val="00941FE7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1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41FE7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94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1F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94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941F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41FE7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41FE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41F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941FE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941F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941FE7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94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1FE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941FE7"/>
  </w:style>
  <w:style w:type="table" w:customStyle="1" w:styleId="12">
    <w:name w:val="Сетка таблицы1"/>
    <w:basedOn w:val="a1"/>
    <w:next w:val="a5"/>
    <w:uiPriority w:val="39"/>
    <w:rsid w:val="0094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941FE7"/>
    <w:rPr>
      <w:color w:val="808080"/>
    </w:rPr>
  </w:style>
  <w:style w:type="character" w:styleId="af0">
    <w:name w:val="Hyperlink"/>
    <w:basedOn w:val="a0"/>
    <w:uiPriority w:val="99"/>
    <w:unhideWhenUsed/>
    <w:rsid w:val="00941FE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41FE7"/>
    <w:rPr>
      <w:rFonts w:ascii="Calibri" w:eastAsia="Times New Roman" w:hAnsi="Calibri" w:cs="Calibri"/>
      <w:szCs w:val="20"/>
      <w:lang w:eastAsia="ru-RU"/>
    </w:rPr>
  </w:style>
  <w:style w:type="character" w:customStyle="1" w:styleId="af1">
    <w:name w:val="Цветовое выделение"/>
    <w:uiPriority w:val="99"/>
    <w:rsid w:val="00941FE7"/>
    <w:rPr>
      <w:b/>
      <w:color w:val="auto"/>
    </w:rPr>
  </w:style>
  <w:style w:type="paragraph" w:styleId="HTML">
    <w:name w:val="HTML Preformatted"/>
    <w:basedOn w:val="a"/>
    <w:link w:val="HTML0"/>
    <w:uiPriority w:val="99"/>
    <w:unhideWhenUsed/>
    <w:rsid w:val="0094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F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941FE7"/>
  </w:style>
  <w:style w:type="character" w:customStyle="1" w:styleId="apple-converted-space">
    <w:name w:val="apple-converted-space"/>
    <w:rsid w:val="00941FE7"/>
  </w:style>
  <w:style w:type="paragraph" w:customStyle="1" w:styleId="ConsPlusCell">
    <w:name w:val="ConsPlusCell"/>
    <w:uiPriority w:val="99"/>
    <w:rsid w:val="00941F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11977&amp;date=18.09.2019" TargetMode="External"/><Relationship Id="rId7" Type="http://schemas.openxmlformats.org/officeDocument/2006/relationships/hyperlink" Target="https://www.gisip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hyperlink" Target="https://login.consultant.ru/link/?req=doc&amp;base=LAW&amp;n=330792&amp;date=18.09.2019&amp;dst=100019&amp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hyperlink" Target="http://www.&#1083;&#1086;&#1073;&#1085;&#1103;" TargetMode="Externa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2021-09-16T07:31:00Z</dcterms:created>
  <dcterms:modified xsi:type="dcterms:W3CDTF">2021-09-16T07:42:00Z</dcterms:modified>
</cp:coreProperties>
</file>